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04E02C4C" w:rsidR="00A160B2" w:rsidRDefault="00042540" w:rsidP="00A160B2">
      <w:pPr>
        <w:spacing w:after="480"/>
      </w:pPr>
      <w:r>
        <w:rPr>
          <w:noProof/>
        </w:rPr>
        <w:drawing>
          <wp:inline distT="0" distB="0" distL="0" distR="0" wp14:anchorId="27101B68" wp14:editId="2FF821CF">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4"/>
        <w:gridCol w:w="4915"/>
      </w:tblGrid>
      <w:tr w:rsidR="00A160B2" w14:paraId="3E9231EB" w14:textId="77777777" w:rsidTr="006C3150">
        <w:trPr>
          <w:tblHeader/>
        </w:trPr>
        <w:tc>
          <w:tcPr>
            <w:tcW w:w="3456" w:type="dxa"/>
            <w:tcBorders>
              <w:bottom w:val="single" w:sz="18" w:space="0" w:color="auto"/>
            </w:tcBorders>
          </w:tcPr>
          <w:p w14:paraId="2EDC0AA9" w14:textId="77777777" w:rsidR="00A160B2" w:rsidRPr="00B805DB" w:rsidRDefault="00A160B2" w:rsidP="006C3150">
            <w:pPr>
              <w:pStyle w:val="Heading1"/>
              <w:spacing w:after="240"/>
            </w:pPr>
            <w:r>
              <w:t>Report f</w:t>
            </w:r>
            <w:r w:rsidRPr="00C869F3">
              <w:t>or:</w:t>
            </w:r>
          </w:p>
        </w:tc>
        <w:tc>
          <w:tcPr>
            <w:tcW w:w="5054" w:type="dxa"/>
            <w:tcBorders>
              <w:bottom w:val="single" w:sz="18" w:space="0" w:color="auto"/>
            </w:tcBorders>
          </w:tcPr>
          <w:p w14:paraId="55A88F66" w14:textId="5A4E8E40" w:rsidR="00A160B2" w:rsidRPr="00A160B2" w:rsidRDefault="00153E73" w:rsidP="006C3150">
            <w:pPr>
              <w:pStyle w:val="Heading1"/>
              <w:rPr>
                <w:color w:val="0000FF"/>
                <w:szCs w:val="24"/>
              </w:rPr>
            </w:pPr>
            <w:r w:rsidRPr="00153E73">
              <w:t>Council</w:t>
            </w:r>
            <w:r w:rsidR="00A160B2" w:rsidRPr="00153E73">
              <w:t xml:space="preserve"> </w:t>
            </w:r>
          </w:p>
        </w:tc>
      </w:tr>
      <w:tr w:rsidR="00A160B2" w14:paraId="5281F5A9" w14:textId="77777777" w:rsidTr="006C3150">
        <w:tc>
          <w:tcPr>
            <w:tcW w:w="3456"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495EBCE8" w14:textId="35925BD6" w:rsidR="00A160B2" w:rsidRDefault="00D71665" w:rsidP="006C3150">
            <w:pPr>
              <w:pStyle w:val="Infotext"/>
              <w:rPr>
                <w:rFonts w:cs="Arial"/>
              </w:rPr>
            </w:pPr>
            <w:r>
              <w:rPr>
                <w:rFonts w:cs="Arial"/>
              </w:rPr>
              <w:t xml:space="preserve">28 September 2023 </w:t>
            </w:r>
          </w:p>
        </w:tc>
      </w:tr>
      <w:tr w:rsidR="00A160B2" w14:paraId="79B879D4" w14:textId="77777777" w:rsidTr="006C3150">
        <w:tc>
          <w:tcPr>
            <w:tcW w:w="3456"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5054" w:type="dxa"/>
          </w:tcPr>
          <w:p w14:paraId="5914456E" w14:textId="0EA0C47B" w:rsidR="00A160B2" w:rsidRDefault="00153E73" w:rsidP="006C3150">
            <w:pPr>
              <w:pStyle w:val="Infotext"/>
              <w:rPr>
                <w:rFonts w:cs="Arial"/>
              </w:rPr>
            </w:pPr>
            <w:r>
              <w:rPr>
                <w:rFonts w:cs="Arial"/>
              </w:rPr>
              <w:t>Information Report – Remuneration Packages of £100,000 or greater</w:t>
            </w:r>
          </w:p>
        </w:tc>
      </w:tr>
      <w:tr w:rsidR="00A160B2" w14:paraId="3A5E0F07" w14:textId="77777777" w:rsidTr="006C3150">
        <w:tc>
          <w:tcPr>
            <w:tcW w:w="3456"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5054" w:type="dxa"/>
          </w:tcPr>
          <w:p w14:paraId="3CF266C9" w14:textId="301418B6" w:rsidR="00A160B2" w:rsidRDefault="00153E73" w:rsidP="00153E73">
            <w:pPr>
              <w:pStyle w:val="Infotext"/>
              <w:rPr>
                <w:rFonts w:cs="Arial"/>
              </w:rPr>
            </w:pPr>
            <w:r>
              <w:rPr>
                <w:rFonts w:cs="Arial"/>
              </w:rPr>
              <w:t xml:space="preserve">Alex Dewsnap – Managing Director (Head of Paid Service) </w:t>
            </w:r>
          </w:p>
        </w:tc>
      </w:tr>
      <w:tr w:rsidR="00A160B2" w14:paraId="7AFCAE74" w14:textId="77777777" w:rsidTr="006C3150">
        <w:tc>
          <w:tcPr>
            <w:tcW w:w="3456"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5054" w:type="dxa"/>
          </w:tcPr>
          <w:p w14:paraId="57D61F9A" w14:textId="275528E1" w:rsidR="00A160B2" w:rsidRDefault="00153E73" w:rsidP="006C3150">
            <w:pPr>
              <w:pStyle w:val="Infotext"/>
              <w:rPr>
                <w:rFonts w:cs="Arial"/>
              </w:rPr>
            </w:pPr>
            <w:r>
              <w:rPr>
                <w:rFonts w:cs="Arial"/>
              </w:rPr>
              <w:t>No</w:t>
            </w:r>
          </w:p>
          <w:p w14:paraId="4C873B59" w14:textId="77777777" w:rsidR="00A160B2" w:rsidRDefault="00A160B2" w:rsidP="006C3150">
            <w:pPr>
              <w:pStyle w:val="Infotext"/>
              <w:rPr>
                <w:rFonts w:cs="Arial"/>
              </w:rPr>
            </w:pPr>
          </w:p>
        </w:tc>
      </w:tr>
      <w:tr w:rsidR="00A160B2" w14:paraId="521D9222" w14:textId="77777777" w:rsidTr="006C3150">
        <w:tc>
          <w:tcPr>
            <w:tcW w:w="3456"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5054" w:type="dxa"/>
          </w:tcPr>
          <w:p w14:paraId="6CD568AC" w14:textId="24B435A2" w:rsidR="00207F72" w:rsidRDefault="00153E73" w:rsidP="006C3150">
            <w:pPr>
              <w:pStyle w:val="Infotext"/>
            </w:pPr>
            <w:r>
              <w:t>N/a</w:t>
            </w:r>
          </w:p>
        </w:tc>
      </w:tr>
      <w:tr w:rsidR="00A160B2" w14:paraId="7C35C184" w14:textId="77777777" w:rsidTr="006C3150">
        <w:tc>
          <w:tcPr>
            <w:tcW w:w="3456"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5054" w:type="dxa"/>
          </w:tcPr>
          <w:p w14:paraId="71119F8F" w14:textId="77777777" w:rsidR="00A160B2" w:rsidRDefault="00A160B2" w:rsidP="006C3150">
            <w:pPr>
              <w:pStyle w:val="Infotext"/>
            </w:pPr>
          </w:p>
          <w:p w14:paraId="4C232B02" w14:textId="7A9559D3" w:rsidR="00A160B2" w:rsidRDefault="00153E73" w:rsidP="006C3150">
            <w:pPr>
              <w:pStyle w:val="Infotext"/>
            </w:pPr>
            <w:r>
              <w:t>None</w:t>
            </w:r>
          </w:p>
        </w:tc>
      </w:tr>
      <w:tr w:rsidR="00A160B2" w14:paraId="576A8326" w14:textId="77777777" w:rsidTr="006C3150">
        <w:tc>
          <w:tcPr>
            <w:tcW w:w="3456" w:type="dxa"/>
          </w:tcPr>
          <w:p w14:paraId="083D62A1" w14:textId="77777777" w:rsidR="00A160B2" w:rsidRPr="00F92398" w:rsidRDefault="00A160B2" w:rsidP="006C3150">
            <w:pPr>
              <w:pStyle w:val="Infotext"/>
              <w:rPr>
                <w:rFonts w:ascii="Arial Black" w:hAnsi="Arial Black" w:cs="Arial"/>
              </w:rPr>
            </w:pPr>
          </w:p>
        </w:tc>
        <w:tc>
          <w:tcPr>
            <w:tcW w:w="5054" w:type="dxa"/>
          </w:tcPr>
          <w:p w14:paraId="35FD747C" w14:textId="77777777" w:rsidR="00A160B2" w:rsidRDefault="00A160B2" w:rsidP="006C3150">
            <w:pPr>
              <w:pStyle w:val="Infotext"/>
              <w:rPr>
                <w:rFonts w:cs="Arial"/>
              </w:rPr>
            </w:pPr>
          </w:p>
        </w:tc>
      </w:tr>
      <w:tr w:rsidR="00A160B2" w14:paraId="055EE389" w14:textId="77777777" w:rsidTr="006C3150">
        <w:tc>
          <w:tcPr>
            <w:tcW w:w="3456" w:type="dxa"/>
          </w:tcPr>
          <w:p w14:paraId="378D9B11" w14:textId="77777777" w:rsidR="00A160B2" w:rsidRPr="00F92398" w:rsidRDefault="00A160B2" w:rsidP="006C3150">
            <w:pPr>
              <w:pStyle w:val="Infotext"/>
              <w:rPr>
                <w:rFonts w:ascii="Arial Black" w:hAnsi="Arial Black"/>
              </w:rPr>
            </w:pPr>
          </w:p>
        </w:tc>
        <w:tc>
          <w:tcPr>
            <w:tcW w:w="5054" w:type="dxa"/>
          </w:tcPr>
          <w:p w14:paraId="4E82A774" w14:textId="77777777" w:rsidR="00A160B2" w:rsidRDefault="00A160B2" w:rsidP="006C3150">
            <w:pPr>
              <w:pStyle w:val="Infotext"/>
              <w:rPr>
                <w:rFonts w:cs="Arial"/>
              </w:rPr>
            </w:pPr>
          </w:p>
        </w:tc>
      </w:tr>
      <w:tr w:rsidR="00A160B2" w14:paraId="3F1219AE" w14:textId="77777777" w:rsidTr="006C3150">
        <w:tc>
          <w:tcPr>
            <w:tcW w:w="3456" w:type="dxa"/>
          </w:tcPr>
          <w:p w14:paraId="097D2FFB" w14:textId="77777777" w:rsidR="00A160B2" w:rsidRPr="00F92398" w:rsidRDefault="00A160B2" w:rsidP="006C3150">
            <w:pPr>
              <w:pStyle w:val="Infotext"/>
              <w:rPr>
                <w:rFonts w:ascii="Arial Black" w:hAnsi="Arial Black" w:cs="Arial"/>
              </w:rPr>
            </w:pPr>
          </w:p>
        </w:tc>
        <w:tc>
          <w:tcPr>
            <w:tcW w:w="5054" w:type="dxa"/>
          </w:tcPr>
          <w:p w14:paraId="65B72BA4" w14:textId="77777777" w:rsidR="00A160B2" w:rsidRDefault="00A160B2" w:rsidP="006C3150">
            <w:pPr>
              <w:pStyle w:val="Infotext"/>
              <w:rPr>
                <w:rFonts w:cs="Arial"/>
              </w:rPr>
            </w:pPr>
          </w:p>
        </w:tc>
      </w:tr>
    </w:tbl>
    <w:p w14:paraId="346FFFA7" w14:textId="57588814" w:rsidR="00A160B2" w:rsidRDefault="00A160B2" w:rsidP="00A160B2">
      <w:pPr>
        <w:spacing w:after="480"/>
        <w:rPr>
          <w:rFonts w:cs="Arial"/>
        </w:rPr>
      </w:pPr>
    </w:p>
    <w:p w14:paraId="7A693DCE" w14:textId="3275002C" w:rsidR="00153E73" w:rsidRDefault="00153E73" w:rsidP="00A160B2">
      <w:pPr>
        <w:spacing w:after="480"/>
        <w:rPr>
          <w:rFonts w:cs="Arial"/>
        </w:rPr>
      </w:pPr>
    </w:p>
    <w:p w14:paraId="4D946709" w14:textId="51418FF2" w:rsidR="00153E73" w:rsidRDefault="00153E73" w:rsidP="00A160B2">
      <w:pPr>
        <w:spacing w:after="480"/>
        <w:rPr>
          <w:rFonts w:cs="Arial"/>
        </w:rPr>
      </w:pPr>
    </w:p>
    <w:p w14:paraId="5B3C2249" w14:textId="2CFC2F86" w:rsidR="00153E73" w:rsidRDefault="00153E73" w:rsidP="00A160B2">
      <w:pPr>
        <w:spacing w:after="480"/>
        <w:rPr>
          <w:rFonts w:cs="Arial"/>
        </w:rPr>
      </w:pPr>
    </w:p>
    <w:p w14:paraId="61B7FBD3" w14:textId="6A44A6D1" w:rsidR="00153E73" w:rsidRDefault="00153E73" w:rsidP="00A160B2">
      <w:pPr>
        <w:spacing w:after="480"/>
        <w:rPr>
          <w:rFonts w:cs="Arial"/>
        </w:rPr>
      </w:pPr>
    </w:p>
    <w:p w14:paraId="66C07F9B" w14:textId="01EC5BCB" w:rsidR="00153E73" w:rsidRDefault="00153E73" w:rsidP="00A160B2">
      <w:pPr>
        <w:spacing w:after="480"/>
        <w:rPr>
          <w:rFonts w:cs="Arial"/>
        </w:rPr>
      </w:pPr>
    </w:p>
    <w:p w14:paraId="638A1F3C" w14:textId="44DD2C3F" w:rsidR="00153E73" w:rsidRDefault="00153E73" w:rsidP="00A160B2">
      <w:pPr>
        <w:spacing w:after="480"/>
        <w:rPr>
          <w:rFonts w:cs="Arial"/>
        </w:rPr>
      </w:pPr>
    </w:p>
    <w:p w14:paraId="73F7497F" w14:textId="77777777" w:rsidR="00153E73" w:rsidRDefault="00153E73" w:rsidP="00A160B2">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6C3150">
        <w:trPr>
          <w:tblHeader/>
        </w:trPr>
        <w:tc>
          <w:tcPr>
            <w:tcW w:w="8525"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6C3150">
        <w:trPr>
          <w:tblHeader/>
        </w:trPr>
        <w:tc>
          <w:tcPr>
            <w:tcW w:w="8525" w:type="dxa"/>
            <w:tcBorders>
              <w:left w:val="nil"/>
              <w:bottom w:val="nil"/>
              <w:right w:val="nil"/>
            </w:tcBorders>
          </w:tcPr>
          <w:p w14:paraId="4124675E" w14:textId="36E8D037" w:rsidR="00A160B2" w:rsidRPr="00F27DD2" w:rsidRDefault="00153E73" w:rsidP="00C55DD7">
            <w:pPr>
              <w:jc w:val="both"/>
            </w:pPr>
            <w:r w:rsidRPr="00F27DD2">
              <w:t>This report sets out a summary of the remuneration packages approved by the Chief Officers</w:t>
            </w:r>
            <w:r w:rsidR="00E00C57">
              <w:t>’</w:t>
            </w:r>
            <w:r w:rsidRPr="00F27DD2">
              <w:t xml:space="preserve"> Employment Panel (COEP) from May 2023 t</w:t>
            </w:r>
            <w:r w:rsidR="000651CE">
              <w:t>ill</w:t>
            </w:r>
            <w:r w:rsidRPr="00F27DD2">
              <w:t xml:space="preserve"> August 2023. </w:t>
            </w:r>
          </w:p>
          <w:p w14:paraId="2C9E4A81" w14:textId="77777777" w:rsidR="00A160B2" w:rsidRDefault="00A160B2" w:rsidP="00A160B2">
            <w:pPr>
              <w:rPr>
                <w:rFonts w:ascii="Arial Bold" w:hAnsi="Arial Bold"/>
                <w:b/>
                <w:sz w:val="28"/>
              </w:rPr>
            </w:pPr>
          </w:p>
          <w:p w14:paraId="4F9D0A08" w14:textId="2F052049" w:rsidR="00A160B2" w:rsidRDefault="00A160B2" w:rsidP="00A160B2">
            <w:pPr>
              <w:rPr>
                <w:rFonts w:ascii="Arial Bold" w:hAnsi="Arial Bold"/>
                <w:b/>
                <w:sz w:val="28"/>
              </w:rPr>
            </w:pPr>
            <w:r w:rsidRPr="00A160B2">
              <w:rPr>
                <w:rFonts w:ascii="Arial Bold" w:hAnsi="Arial Bold"/>
                <w:b/>
                <w:sz w:val="28"/>
              </w:rPr>
              <w:t xml:space="preserve">Recommendations: </w:t>
            </w:r>
          </w:p>
          <w:p w14:paraId="72B4645D" w14:textId="77777777" w:rsidR="00154E96" w:rsidRPr="00A160B2" w:rsidRDefault="00154E96" w:rsidP="00A160B2">
            <w:pPr>
              <w:rPr>
                <w:rFonts w:ascii="Arial Bold" w:hAnsi="Arial Bold"/>
                <w:b/>
                <w:sz w:val="28"/>
              </w:rPr>
            </w:pPr>
          </w:p>
          <w:p w14:paraId="714CBDEE" w14:textId="2E2B3459" w:rsidR="00A160B2" w:rsidRDefault="00153E73" w:rsidP="00A160B2">
            <w:r>
              <w:t xml:space="preserve">That the report be noted. </w:t>
            </w:r>
            <w:r w:rsidR="00A160B2">
              <w:t xml:space="preserve"> </w:t>
            </w:r>
          </w:p>
        </w:tc>
      </w:tr>
    </w:tbl>
    <w:p w14:paraId="53DC7DE2" w14:textId="5A0CA539" w:rsidR="002A2389" w:rsidRDefault="002A2389" w:rsidP="00A160B2">
      <w:pPr>
        <w:pStyle w:val="Heading2"/>
      </w:pPr>
      <w:r>
        <w:t>Section 2 – Report</w:t>
      </w:r>
    </w:p>
    <w:p w14:paraId="322B6CDA" w14:textId="77777777" w:rsidR="00F27DD2" w:rsidRPr="00F27DD2" w:rsidRDefault="00F27DD2" w:rsidP="00F27DD2"/>
    <w:p w14:paraId="42096466" w14:textId="73CBB30D" w:rsidR="00153E73" w:rsidRPr="00A97E4A" w:rsidRDefault="00B612DB" w:rsidP="00C55DD7">
      <w:pPr>
        <w:pStyle w:val="ListParagraph"/>
        <w:numPr>
          <w:ilvl w:val="0"/>
          <w:numId w:val="22"/>
        </w:numPr>
        <w:jc w:val="both"/>
        <w:rPr>
          <w:sz w:val="24"/>
          <w:szCs w:val="24"/>
        </w:rPr>
      </w:pPr>
      <w:r>
        <w:rPr>
          <w:sz w:val="24"/>
          <w:szCs w:val="24"/>
        </w:rPr>
        <w:t xml:space="preserve">Department for </w:t>
      </w:r>
      <w:r w:rsidR="008A1FFB">
        <w:rPr>
          <w:sz w:val="24"/>
          <w:szCs w:val="24"/>
        </w:rPr>
        <w:t>Levelling</w:t>
      </w:r>
      <w:r>
        <w:rPr>
          <w:sz w:val="24"/>
          <w:szCs w:val="24"/>
        </w:rPr>
        <w:t xml:space="preserve"> Up, Housing and Communities</w:t>
      </w:r>
      <w:r w:rsidR="008A1FFB">
        <w:rPr>
          <w:sz w:val="24"/>
          <w:szCs w:val="24"/>
        </w:rPr>
        <w:t xml:space="preserve"> (DHLUC)</w:t>
      </w:r>
      <w:r w:rsidR="00153E73" w:rsidRPr="00A97E4A">
        <w:rPr>
          <w:sz w:val="24"/>
          <w:szCs w:val="24"/>
        </w:rPr>
        <w:t xml:space="preserve"> guidance (‘Openness and accountability in local pay: Guidance under section 40 of the Localism Act 2011’) states that </w:t>
      </w:r>
      <w:r w:rsidR="00F27DD2">
        <w:rPr>
          <w:sz w:val="24"/>
          <w:szCs w:val="24"/>
        </w:rPr>
        <w:t>the</w:t>
      </w:r>
      <w:r w:rsidR="00153E73" w:rsidRPr="00A97E4A">
        <w:rPr>
          <w:sz w:val="24"/>
          <w:szCs w:val="24"/>
        </w:rPr>
        <w:t xml:space="preserve"> full Council should be </w:t>
      </w:r>
      <w:r w:rsidR="00236E28">
        <w:rPr>
          <w:sz w:val="24"/>
          <w:szCs w:val="24"/>
        </w:rPr>
        <w:t xml:space="preserve">given the opportunity </w:t>
      </w:r>
      <w:r w:rsidR="00153E73" w:rsidRPr="00A97E4A">
        <w:rPr>
          <w:sz w:val="24"/>
          <w:szCs w:val="24"/>
        </w:rPr>
        <w:t>to vote on any remuneration package of £100,000pa or greater.</w:t>
      </w:r>
    </w:p>
    <w:p w14:paraId="7D5D6FD9" w14:textId="77777777" w:rsidR="00153E73" w:rsidRPr="00A97E4A" w:rsidRDefault="00153E73" w:rsidP="00C55DD7">
      <w:pPr>
        <w:jc w:val="both"/>
        <w:rPr>
          <w:szCs w:val="24"/>
        </w:rPr>
      </w:pPr>
    </w:p>
    <w:p w14:paraId="5202C5AA" w14:textId="4837AF06" w:rsidR="00153E73" w:rsidRPr="00A97E4A" w:rsidRDefault="00153E73" w:rsidP="00C55DD7">
      <w:pPr>
        <w:pStyle w:val="ListParagraph"/>
        <w:numPr>
          <w:ilvl w:val="0"/>
          <w:numId w:val="22"/>
        </w:numPr>
        <w:jc w:val="both"/>
        <w:rPr>
          <w:sz w:val="24"/>
          <w:szCs w:val="24"/>
        </w:rPr>
      </w:pPr>
      <w:r w:rsidRPr="00A97E4A">
        <w:rPr>
          <w:sz w:val="24"/>
          <w:szCs w:val="24"/>
        </w:rPr>
        <w:t xml:space="preserve">The Council delegates authority to the Chief Officers’ Employment Panel (‘COEP’) the determination of any remuneration package of £100,000, subject to all approvals being reported for information to </w:t>
      </w:r>
      <w:r w:rsidR="00A97E4A">
        <w:rPr>
          <w:sz w:val="24"/>
          <w:szCs w:val="24"/>
        </w:rPr>
        <w:t xml:space="preserve">the </w:t>
      </w:r>
      <w:r w:rsidRPr="00A97E4A">
        <w:rPr>
          <w:sz w:val="24"/>
          <w:szCs w:val="24"/>
        </w:rPr>
        <w:t>full Council.</w:t>
      </w:r>
    </w:p>
    <w:p w14:paraId="2DF14FD6" w14:textId="1D909106" w:rsidR="00153E73" w:rsidRPr="00A97E4A" w:rsidRDefault="00153E73" w:rsidP="00C55DD7">
      <w:pPr>
        <w:jc w:val="both"/>
        <w:rPr>
          <w:szCs w:val="24"/>
        </w:rPr>
      </w:pPr>
    </w:p>
    <w:p w14:paraId="25A81039" w14:textId="17973BD7" w:rsidR="002B336A" w:rsidRPr="00A97E4A" w:rsidRDefault="00153E73" w:rsidP="00C55DD7">
      <w:pPr>
        <w:pStyle w:val="ListParagraph"/>
        <w:numPr>
          <w:ilvl w:val="0"/>
          <w:numId w:val="22"/>
        </w:numPr>
        <w:jc w:val="both"/>
        <w:rPr>
          <w:sz w:val="24"/>
          <w:szCs w:val="24"/>
        </w:rPr>
      </w:pPr>
      <w:r w:rsidRPr="00A97E4A">
        <w:rPr>
          <w:sz w:val="24"/>
          <w:szCs w:val="24"/>
        </w:rPr>
        <w:t xml:space="preserve">Between May 2023 and August 2023, </w:t>
      </w:r>
      <w:r w:rsidR="00F27DD2">
        <w:rPr>
          <w:sz w:val="24"/>
          <w:szCs w:val="24"/>
        </w:rPr>
        <w:t>three</w:t>
      </w:r>
      <w:r w:rsidR="002B336A" w:rsidRPr="00A97E4A">
        <w:rPr>
          <w:sz w:val="24"/>
          <w:szCs w:val="24"/>
        </w:rPr>
        <w:t xml:space="preserve"> roles </w:t>
      </w:r>
      <w:r w:rsidR="00A97E4A">
        <w:rPr>
          <w:sz w:val="24"/>
          <w:szCs w:val="24"/>
        </w:rPr>
        <w:t>were</w:t>
      </w:r>
      <w:r w:rsidR="002B336A" w:rsidRPr="00A97E4A">
        <w:rPr>
          <w:sz w:val="24"/>
          <w:szCs w:val="24"/>
        </w:rPr>
        <w:t xml:space="preserve"> approved by the Chief Officers</w:t>
      </w:r>
      <w:r w:rsidR="00E00C57">
        <w:rPr>
          <w:sz w:val="24"/>
          <w:szCs w:val="24"/>
        </w:rPr>
        <w:t>’</w:t>
      </w:r>
      <w:r w:rsidR="002B336A" w:rsidRPr="00A97E4A">
        <w:rPr>
          <w:sz w:val="24"/>
          <w:szCs w:val="24"/>
        </w:rPr>
        <w:t xml:space="preserve"> Employment Panel. </w:t>
      </w:r>
    </w:p>
    <w:p w14:paraId="3B831693" w14:textId="77777777" w:rsidR="002B336A" w:rsidRPr="00A97E4A" w:rsidRDefault="002B336A" w:rsidP="00C55DD7">
      <w:pPr>
        <w:pStyle w:val="ListParagraph"/>
        <w:jc w:val="both"/>
        <w:rPr>
          <w:sz w:val="24"/>
          <w:szCs w:val="24"/>
        </w:rPr>
      </w:pPr>
    </w:p>
    <w:p w14:paraId="46ABBE0E" w14:textId="4F423366" w:rsidR="00153E73" w:rsidRPr="00A97E4A" w:rsidRDefault="00153E73" w:rsidP="00C55DD7">
      <w:pPr>
        <w:pStyle w:val="ListParagraph"/>
        <w:numPr>
          <w:ilvl w:val="0"/>
          <w:numId w:val="22"/>
        </w:numPr>
        <w:jc w:val="both"/>
        <w:rPr>
          <w:sz w:val="24"/>
          <w:szCs w:val="24"/>
        </w:rPr>
      </w:pPr>
      <w:r w:rsidRPr="00A97E4A">
        <w:rPr>
          <w:sz w:val="24"/>
          <w:szCs w:val="24"/>
        </w:rPr>
        <w:t xml:space="preserve">The Chief </w:t>
      </w:r>
      <w:r w:rsidR="00E00C57">
        <w:rPr>
          <w:sz w:val="24"/>
          <w:szCs w:val="24"/>
        </w:rPr>
        <w:t xml:space="preserve">Officers’ </w:t>
      </w:r>
      <w:r w:rsidRPr="00A97E4A">
        <w:rPr>
          <w:sz w:val="24"/>
          <w:szCs w:val="24"/>
        </w:rPr>
        <w:t xml:space="preserve">Employment Panel approved the following roles: </w:t>
      </w:r>
    </w:p>
    <w:p w14:paraId="662DD4DE" w14:textId="77777777" w:rsidR="00A97E4A" w:rsidRDefault="00A97E4A" w:rsidP="00A97E4A">
      <w:pPr>
        <w:jc w:val="both"/>
        <w:rPr>
          <w:szCs w:val="24"/>
        </w:rPr>
      </w:pPr>
    </w:p>
    <w:p w14:paraId="2CB36389" w14:textId="0E04C71A" w:rsidR="00153E73" w:rsidRPr="002E0DA4" w:rsidRDefault="00153E73" w:rsidP="00F27DD2">
      <w:pPr>
        <w:pStyle w:val="ListParagraph"/>
        <w:numPr>
          <w:ilvl w:val="0"/>
          <w:numId w:val="22"/>
        </w:numPr>
        <w:jc w:val="both"/>
        <w:rPr>
          <w:b/>
          <w:bCs/>
          <w:sz w:val="24"/>
          <w:szCs w:val="24"/>
        </w:rPr>
      </w:pPr>
      <w:r w:rsidRPr="002E0DA4">
        <w:rPr>
          <w:b/>
          <w:bCs/>
          <w:sz w:val="24"/>
          <w:szCs w:val="24"/>
        </w:rPr>
        <w:t>Managing Director (Head of Paid Service)</w:t>
      </w:r>
    </w:p>
    <w:p w14:paraId="7885E7EF" w14:textId="77777777" w:rsidR="00A97E4A" w:rsidRPr="00A97E4A" w:rsidRDefault="00A97E4A" w:rsidP="00A97E4A">
      <w:pPr>
        <w:jc w:val="both"/>
        <w:rPr>
          <w:b/>
          <w:bCs/>
          <w:szCs w:val="24"/>
        </w:rPr>
      </w:pPr>
    </w:p>
    <w:p w14:paraId="15D60A2F" w14:textId="31F0DC62" w:rsidR="00A97E4A" w:rsidRPr="00D71665" w:rsidRDefault="00A97E4A" w:rsidP="00D71665">
      <w:pPr>
        <w:pStyle w:val="ListParagraph"/>
        <w:ind w:left="360"/>
        <w:jc w:val="both"/>
        <w:rPr>
          <w:sz w:val="24"/>
          <w:szCs w:val="28"/>
        </w:rPr>
      </w:pPr>
      <w:r w:rsidRPr="00D71665">
        <w:rPr>
          <w:sz w:val="24"/>
          <w:szCs w:val="28"/>
        </w:rPr>
        <w:t xml:space="preserve">The Head of Paid Service is a statutory role for the Council and </w:t>
      </w:r>
      <w:r w:rsidR="00F27DD2" w:rsidRPr="00D71665">
        <w:rPr>
          <w:sz w:val="24"/>
          <w:szCs w:val="28"/>
        </w:rPr>
        <w:t xml:space="preserve">was fulfilled by a permanent post holder from </w:t>
      </w:r>
      <w:r w:rsidRPr="00D71665">
        <w:rPr>
          <w:sz w:val="24"/>
          <w:szCs w:val="28"/>
        </w:rPr>
        <w:t xml:space="preserve">September 2022. </w:t>
      </w:r>
      <w:r w:rsidR="00F27DD2" w:rsidRPr="00D71665">
        <w:rPr>
          <w:sz w:val="24"/>
          <w:szCs w:val="28"/>
        </w:rPr>
        <w:t>Following the</w:t>
      </w:r>
      <w:r w:rsidR="00E00C57">
        <w:rPr>
          <w:sz w:val="24"/>
          <w:szCs w:val="28"/>
        </w:rPr>
        <w:t xml:space="preserve"> postholder’s</w:t>
      </w:r>
      <w:r w:rsidR="00523FA4">
        <w:rPr>
          <w:sz w:val="24"/>
          <w:szCs w:val="28"/>
        </w:rPr>
        <w:t xml:space="preserve"> </w:t>
      </w:r>
      <w:r w:rsidR="00F27DD2" w:rsidRPr="00D71665">
        <w:rPr>
          <w:sz w:val="24"/>
          <w:szCs w:val="28"/>
        </w:rPr>
        <w:t xml:space="preserve">resignation, </w:t>
      </w:r>
      <w:r w:rsidRPr="00D71665">
        <w:rPr>
          <w:sz w:val="24"/>
          <w:szCs w:val="28"/>
        </w:rPr>
        <w:t>recruitment to this statutory post was undertaken. In May 2023, following a recruitment process in line with the Council</w:t>
      </w:r>
      <w:r w:rsidR="00E00C57">
        <w:rPr>
          <w:sz w:val="24"/>
          <w:szCs w:val="28"/>
        </w:rPr>
        <w:t>’s</w:t>
      </w:r>
      <w:r w:rsidRPr="00D71665">
        <w:rPr>
          <w:sz w:val="24"/>
          <w:szCs w:val="28"/>
        </w:rPr>
        <w:t xml:space="preserve"> policies, an appointment was made to the Managing Director (Head of Paid Service) post with a remuneration package of CE1 grade £165,941 per annum, plus the employer’s Local Government Pension Scheme. </w:t>
      </w:r>
      <w:r w:rsidR="00E00C57">
        <w:rPr>
          <w:sz w:val="24"/>
          <w:szCs w:val="28"/>
        </w:rPr>
        <w:t xml:space="preserve">The appointment is for a </w:t>
      </w:r>
      <w:r w:rsidR="00523FA4">
        <w:rPr>
          <w:sz w:val="24"/>
          <w:szCs w:val="28"/>
        </w:rPr>
        <w:t>six-month</w:t>
      </w:r>
      <w:r w:rsidR="00E00C57">
        <w:rPr>
          <w:sz w:val="24"/>
          <w:szCs w:val="28"/>
        </w:rPr>
        <w:t xml:space="preserve"> period with an option to extend for three years.</w:t>
      </w:r>
    </w:p>
    <w:p w14:paraId="27702F5F" w14:textId="77777777" w:rsidR="00A97E4A" w:rsidRPr="00A97E4A" w:rsidRDefault="00A97E4A" w:rsidP="00A97E4A">
      <w:pPr>
        <w:jc w:val="both"/>
        <w:rPr>
          <w:szCs w:val="24"/>
        </w:rPr>
      </w:pPr>
    </w:p>
    <w:p w14:paraId="072436E9" w14:textId="61970F5A" w:rsidR="00153E73" w:rsidRPr="002E0DA4" w:rsidRDefault="00153E73" w:rsidP="00F27DD2">
      <w:pPr>
        <w:pStyle w:val="ListParagraph"/>
        <w:numPr>
          <w:ilvl w:val="0"/>
          <w:numId w:val="22"/>
        </w:numPr>
        <w:jc w:val="both"/>
        <w:rPr>
          <w:b/>
          <w:bCs/>
          <w:sz w:val="24"/>
          <w:szCs w:val="24"/>
        </w:rPr>
      </w:pPr>
      <w:r w:rsidRPr="002E0DA4">
        <w:rPr>
          <w:b/>
          <w:bCs/>
          <w:sz w:val="24"/>
          <w:szCs w:val="24"/>
        </w:rPr>
        <w:t xml:space="preserve">Director of Children’s Services </w:t>
      </w:r>
    </w:p>
    <w:p w14:paraId="7A689575" w14:textId="77777777" w:rsidR="00A97E4A" w:rsidRDefault="00A97E4A" w:rsidP="00A97E4A">
      <w:pPr>
        <w:jc w:val="both"/>
      </w:pPr>
    </w:p>
    <w:p w14:paraId="35948096" w14:textId="0462EF12" w:rsidR="00A97E4A" w:rsidRPr="00024911" w:rsidRDefault="00A97E4A" w:rsidP="00F27DD2">
      <w:pPr>
        <w:ind w:left="360"/>
        <w:jc w:val="both"/>
      </w:pPr>
      <w:r>
        <w:t>The Director of Children Services (Grade D3) is a Statutory Chief Officer post. The previous permanent postholder retired at the end of May 2023</w:t>
      </w:r>
      <w:r w:rsidR="00E00C57">
        <w:t xml:space="preserve"> and an interim appointment was made</w:t>
      </w:r>
      <w:r>
        <w:t xml:space="preserve"> The Director of Children’s Services (DCS) post holds significant statutory responsibilities in how the Council look after Harrow’s children and forms an integral link with our partners such as schools. </w:t>
      </w:r>
    </w:p>
    <w:p w14:paraId="1D15C499" w14:textId="77777777" w:rsidR="00A97E4A" w:rsidRDefault="00A97E4A" w:rsidP="00A97E4A">
      <w:pPr>
        <w:jc w:val="both"/>
      </w:pPr>
    </w:p>
    <w:p w14:paraId="4B111049" w14:textId="53EA9FF6" w:rsidR="00A97E4A" w:rsidRDefault="00A97E4A" w:rsidP="00F27DD2">
      <w:pPr>
        <w:ind w:left="360"/>
        <w:jc w:val="both"/>
      </w:pPr>
      <w:r>
        <w:t>In July 2023, following a recruitment process in line with the Council</w:t>
      </w:r>
      <w:r w:rsidR="00E00C57">
        <w:t>’s</w:t>
      </w:r>
      <w:r>
        <w:t xml:space="preserve"> policies, an appointment was made to the Director of Children Services post </w:t>
      </w:r>
      <w:r>
        <w:lastRenderedPageBreak/>
        <w:t>with a remuneration package of D3 grade £</w:t>
      </w:r>
      <w:r w:rsidR="00F27DD2">
        <w:t>132,168</w:t>
      </w:r>
      <w:r>
        <w:t xml:space="preserve"> per annum, plus the employer’s Local Government Pension Scheme.</w:t>
      </w:r>
    </w:p>
    <w:p w14:paraId="782BF622" w14:textId="77777777" w:rsidR="00C55DD7" w:rsidRDefault="00C55DD7" w:rsidP="00F27DD2">
      <w:pPr>
        <w:ind w:left="360"/>
        <w:jc w:val="both"/>
        <w:rPr>
          <w:szCs w:val="24"/>
        </w:rPr>
      </w:pPr>
    </w:p>
    <w:p w14:paraId="10679B10" w14:textId="77777777" w:rsidR="00A97E4A" w:rsidRPr="00A97E4A" w:rsidRDefault="00A97E4A" w:rsidP="00A97E4A">
      <w:pPr>
        <w:jc w:val="both"/>
        <w:rPr>
          <w:szCs w:val="24"/>
        </w:rPr>
      </w:pPr>
    </w:p>
    <w:p w14:paraId="4B6F9DAD" w14:textId="7387817F" w:rsidR="00153E73" w:rsidRPr="002E0DA4" w:rsidRDefault="00153E73" w:rsidP="00F27DD2">
      <w:pPr>
        <w:pStyle w:val="ListParagraph"/>
        <w:numPr>
          <w:ilvl w:val="0"/>
          <w:numId w:val="22"/>
        </w:numPr>
        <w:jc w:val="both"/>
        <w:rPr>
          <w:b/>
          <w:bCs/>
          <w:sz w:val="24"/>
          <w:szCs w:val="24"/>
        </w:rPr>
      </w:pPr>
      <w:r w:rsidRPr="002E0DA4">
        <w:rPr>
          <w:b/>
          <w:bCs/>
          <w:sz w:val="24"/>
          <w:szCs w:val="24"/>
        </w:rPr>
        <w:t xml:space="preserve">Interim Director of Finance and Assurance (Section 151 Officer) </w:t>
      </w:r>
    </w:p>
    <w:p w14:paraId="5CD35D54" w14:textId="33B049D7" w:rsidR="00A97E4A" w:rsidRPr="00E00C57" w:rsidRDefault="00A97E4A" w:rsidP="00A97E4A">
      <w:pPr>
        <w:jc w:val="both"/>
        <w:rPr>
          <w:b/>
          <w:bCs/>
          <w:szCs w:val="24"/>
        </w:rPr>
      </w:pPr>
    </w:p>
    <w:p w14:paraId="29B06C1C" w14:textId="64290932" w:rsidR="00A97E4A" w:rsidRDefault="00A97E4A" w:rsidP="00154E96">
      <w:pPr>
        <w:ind w:left="360"/>
        <w:jc w:val="both"/>
      </w:pPr>
      <w:r>
        <w:t xml:space="preserve">The Director of Finance and Assurance (Section 151 Officer) post is a statutory role for the Council and holds significant responsibilities in how the Council manages and delivers services to residents. The previous permanent post holder resigned and left the Council in August 2023. </w:t>
      </w:r>
    </w:p>
    <w:p w14:paraId="345AD195" w14:textId="77777777" w:rsidR="00A97E4A" w:rsidRDefault="00A97E4A" w:rsidP="00A97E4A">
      <w:pPr>
        <w:jc w:val="both"/>
      </w:pPr>
    </w:p>
    <w:p w14:paraId="22ECE105" w14:textId="7ABF3D76" w:rsidR="00A97E4A" w:rsidRDefault="00A97E4A" w:rsidP="00154E96">
      <w:pPr>
        <w:ind w:left="360"/>
        <w:jc w:val="both"/>
      </w:pPr>
      <w:r>
        <w:t xml:space="preserve">In August 2023, following a recruitment process in line with the Council policies, an appointment was made to the Interim </w:t>
      </w:r>
      <w:r w:rsidR="00F27DD2">
        <w:t xml:space="preserve">Director of Finance and Assurance </w:t>
      </w:r>
      <w:r>
        <w:t xml:space="preserve">post with a </w:t>
      </w:r>
      <w:r w:rsidR="00F27DD2">
        <w:t>remuneration</w:t>
      </w:r>
      <w:r>
        <w:t xml:space="preserve"> package of D3 grade £1</w:t>
      </w:r>
      <w:r w:rsidR="00F27DD2">
        <w:t>32</w:t>
      </w:r>
      <w:r>
        <w:t>,</w:t>
      </w:r>
      <w:r w:rsidR="00F27DD2">
        <w:t>168</w:t>
      </w:r>
      <w:r>
        <w:t xml:space="preserve"> per annum, plus the employer’s Local Government Pension Scheme. </w:t>
      </w:r>
    </w:p>
    <w:p w14:paraId="3469E0D9" w14:textId="1D7A8D4E" w:rsidR="00213BE7" w:rsidRDefault="00213BE7" w:rsidP="00213BE7">
      <w:pPr>
        <w:pStyle w:val="Heading2"/>
      </w:pPr>
      <w:r>
        <w:t>Legal Implications</w:t>
      </w:r>
    </w:p>
    <w:p w14:paraId="018BB697" w14:textId="77777777" w:rsidR="00F27DD2" w:rsidRPr="00F27DD2" w:rsidRDefault="00F27DD2" w:rsidP="00F27DD2"/>
    <w:p w14:paraId="6BEFAD17" w14:textId="68A0E35F" w:rsidR="00F27DD2" w:rsidRDefault="00F27DD2" w:rsidP="00F27DD2">
      <w:pPr>
        <w:jc w:val="both"/>
      </w:pPr>
      <w:r w:rsidRPr="00F27DD2">
        <w:t>In accordance with the Constitution, th</w:t>
      </w:r>
      <w:r w:rsidR="0033701D">
        <w:t>e Chief Officers’ Employment</w:t>
      </w:r>
      <w:r w:rsidRPr="00F27DD2">
        <w:t xml:space="preserve"> Panel is required to approve remuneration packages of £100,000 or greater for a Council Post. The Panel is required to report back to Council for information purposes on all such approved remuneration packages. </w:t>
      </w:r>
    </w:p>
    <w:p w14:paraId="3CD6F4CF" w14:textId="77777777" w:rsidR="00F27DD2" w:rsidRPr="00F27DD2" w:rsidRDefault="00F27DD2" w:rsidP="00F27DD2">
      <w:pPr>
        <w:jc w:val="both"/>
      </w:pPr>
    </w:p>
    <w:p w14:paraId="64D0494F" w14:textId="77777777" w:rsidR="00F27DD2" w:rsidRPr="00F27DD2" w:rsidRDefault="00F27DD2" w:rsidP="00F27DD2">
      <w:pPr>
        <w:jc w:val="both"/>
      </w:pPr>
      <w:r w:rsidRPr="00F27DD2">
        <w:t>Harrow Council’s Pay Policy Statement 2019 provides that: 'All employees, including Chief Officers, are normally appointed on the lowest pay spine column point for their job evaluated grade.  In exceptional circumstances, employees may be appointed at a higher point within the evaluated grade. The Council may apply market supplement payments to jobs with recruitment or retention difficulties.’</w:t>
      </w:r>
    </w:p>
    <w:p w14:paraId="41BB405D" w14:textId="77777777" w:rsidR="002A2389" w:rsidRDefault="002A2389" w:rsidP="003D2FFE">
      <w:pPr>
        <w:pStyle w:val="Heading2"/>
        <w:spacing w:after="240"/>
      </w:pPr>
      <w:r>
        <w:t>Financial Implications</w:t>
      </w:r>
    </w:p>
    <w:p w14:paraId="4FF89AE5" w14:textId="627A4274" w:rsidR="00F27DD2" w:rsidRDefault="00F27DD2" w:rsidP="00F27DD2">
      <w:pPr>
        <w:jc w:val="both"/>
      </w:pPr>
      <w:r>
        <w:t xml:space="preserve">The salary for the Managing Director (Head of Paid Service), Director of Children’s Services and Interim Director of Finance and Assurance is fully accounted for in the relevant directorates annual budget. </w:t>
      </w:r>
    </w:p>
    <w:p w14:paraId="5ACE80EE" w14:textId="53109BE1" w:rsidR="00C32DAE" w:rsidRDefault="00C32DAE" w:rsidP="003D2FFE">
      <w:pPr>
        <w:pStyle w:val="Heading2"/>
        <w:spacing w:after="240"/>
      </w:pPr>
      <w:r>
        <w:t>Risk Management Implications</w:t>
      </w:r>
    </w:p>
    <w:p w14:paraId="6D22C914" w14:textId="4F8F48AF" w:rsidR="00F27DD2" w:rsidRPr="00570F59" w:rsidRDefault="00F27DD2" w:rsidP="00F27DD2">
      <w:pPr>
        <w:ind w:right="75"/>
        <w:textAlignment w:val="baseline"/>
        <w:rPr>
          <w:rFonts w:ascii="Segoe UI" w:hAnsi="Segoe UI" w:cs="Segoe UI"/>
          <w:sz w:val="18"/>
          <w:szCs w:val="18"/>
          <w:lang w:eastAsia="en-GB"/>
        </w:rPr>
      </w:pPr>
      <w:r w:rsidRPr="00570F59">
        <w:rPr>
          <w:rFonts w:cs="Arial"/>
          <w:szCs w:val="24"/>
          <w:lang w:val="en-US" w:eastAsia="en-GB"/>
        </w:rPr>
        <w:t>Risks included on corporate or directorate risk register?</w:t>
      </w:r>
      <w:r>
        <w:rPr>
          <w:rFonts w:cs="Arial"/>
          <w:szCs w:val="24"/>
          <w:lang w:val="en-US" w:eastAsia="en-GB"/>
        </w:rPr>
        <w:t xml:space="preserve"> </w:t>
      </w:r>
      <w:r w:rsidRPr="00570F59">
        <w:rPr>
          <w:rFonts w:cs="Arial"/>
          <w:b/>
          <w:bCs/>
          <w:szCs w:val="24"/>
          <w:lang w:val="en-US" w:eastAsia="en-GB"/>
        </w:rPr>
        <w:t>N</w:t>
      </w:r>
      <w:r>
        <w:rPr>
          <w:rFonts w:cs="Arial"/>
          <w:b/>
          <w:bCs/>
          <w:szCs w:val="24"/>
          <w:lang w:val="en-US" w:eastAsia="en-GB"/>
        </w:rPr>
        <w:t>o</w:t>
      </w:r>
    </w:p>
    <w:p w14:paraId="6A890357" w14:textId="77777777" w:rsidR="00F27DD2" w:rsidRPr="00570F59" w:rsidRDefault="00F27DD2" w:rsidP="00F27DD2">
      <w:pPr>
        <w:ind w:left="-150" w:right="135"/>
        <w:textAlignment w:val="baseline"/>
        <w:rPr>
          <w:rFonts w:ascii="Segoe UI" w:hAnsi="Segoe UI" w:cs="Segoe UI"/>
          <w:sz w:val="18"/>
          <w:szCs w:val="18"/>
          <w:lang w:eastAsia="en-GB"/>
        </w:rPr>
      </w:pPr>
      <w:r w:rsidRPr="00570F59">
        <w:rPr>
          <w:rFonts w:cs="Arial"/>
          <w:szCs w:val="24"/>
          <w:lang w:val="en-US" w:eastAsia="en-GB"/>
        </w:rPr>
        <w:t>  </w:t>
      </w:r>
      <w:r w:rsidRPr="00570F59">
        <w:rPr>
          <w:rFonts w:cs="Arial"/>
          <w:szCs w:val="24"/>
          <w:lang w:eastAsia="en-GB"/>
        </w:rPr>
        <w:t> </w:t>
      </w:r>
    </w:p>
    <w:p w14:paraId="25522335" w14:textId="77777777" w:rsidR="00F27DD2" w:rsidRPr="00570F59" w:rsidRDefault="00F27DD2" w:rsidP="00F27DD2">
      <w:pPr>
        <w:ind w:left="-150" w:right="135" w:firstLine="135"/>
        <w:textAlignment w:val="baseline"/>
        <w:rPr>
          <w:rFonts w:ascii="Segoe UI" w:hAnsi="Segoe UI" w:cs="Segoe UI"/>
          <w:sz w:val="18"/>
          <w:szCs w:val="18"/>
          <w:lang w:eastAsia="en-GB"/>
        </w:rPr>
      </w:pPr>
      <w:r w:rsidRPr="00570F59">
        <w:rPr>
          <w:rFonts w:cs="Arial"/>
          <w:szCs w:val="24"/>
          <w:lang w:val="en-US" w:eastAsia="en-GB"/>
        </w:rPr>
        <w:t>Separate risk register in place? </w:t>
      </w:r>
      <w:r w:rsidRPr="00570F59">
        <w:rPr>
          <w:rFonts w:cs="Arial"/>
          <w:b/>
          <w:bCs/>
          <w:szCs w:val="24"/>
          <w:lang w:val="en-US" w:eastAsia="en-GB"/>
        </w:rPr>
        <w:t xml:space="preserve"> No</w:t>
      </w:r>
    </w:p>
    <w:p w14:paraId="5B1D72BB" w14:textId="77777777" w:rsidR="00F27DD2" w:rsidRPr="00570F59" w:rsidRDefault="00F27DD2" w:rsidP="00F27DD2">
      <w:pPr>
        <w:ind w:right="75"/>
        <w:textAlignment w:val="baseline"/>
        <w:rPr>
          <w:rFonts w:ascii="Segoe UI" w:hAnsi="Segoe UI" w:cs="Segoe UI"/>
          <w:sz w:val="18"/>
          <w:szCs w:val="18"/>
          <w:lang w:eastAsia="en-GB"/>
        </w:rPr>
      </w:pPr>
      <w:r w:rsidRPr="00570F59">
        <w:rPr>
          <w:rFonts w:cs="Arial"/>
          <w:szCs w:val="24"/>
          <w:lang w:eastAsia="en-GB"/>
        </w:rPr>
        <w:t> </w:t>
      </w:r>
    </w:p>
    <w:p w14:paraId="13C75EE8" w14:textId="77777777" w:rsidR="00F27DD2" w:rsidRPr="00570F59" w:rsidRDefault="00F27DD2" w:rsidP="00F27DD2">
      <w:pPr>
        <w:ind w:right="75"/>
        <w:textAlignment w:val="baseline"/>
        <w:rPr>
          <w:rFonts w:ascii="Segoe UI" w:hAnsi="Segoe UI" w:cs="Segoe UI"/>
          <w:sz w:val="18"/>
          <w:szCs w:val="18"/>
          <w:lang w:eastAsia="en-GB"/>
        </w:rPr>
      </w:pPr>
      <w:r w:rsidRPr="00570F59">
        <w:rPr>
          <w:rFonts w:cs="Arial"/>
          <w:szCs w:val="24"/>
          <w:lang w:eastAsia="en-GB"/>
        </w:rPr>
        <w:t>The relevant risks contained in the register are attached/summarised below. </w:t>
      </w:r>
      <w:r w:rsidRPr="00570F59">
        <w:rPr>
          <w:rFonts w:cs="Arial"/>
          <w:b/>
          <w:bCs/>
          <w:szCs w:val="24"/>
          <w:lang w:val="en-US" w:eastAsia="en-GB"/>
        </w:rPr>
        <w:t>n/a</w:t>
      </w:r>
    </w:p>
    <w:p w14:paraId="6B59902C" w14:textId="77777777" w:rsidR="00F27DD2" w:rsidRDefault="00F27DD2" w:rsidP="00F27DD2">
      <w:pPr>
        <w:pStyle w:val="Heading2"/>
        <w:keepNext/>
        <w:spacing w:after="240"/>
      </w:pPr>
      <w:r>
        <w:lastRenderedPageBreak/>
        <w:t xml:space="preserve">Equalities implications / Public Sector Equality Duty </w:t>
      </w:r>
    </w:p>
    <w:p w14:paraId="65FCCD5D" w14:textId="77777777" w:rsidR="00F27DD2" w:rsidRDefault="00F27DD2" w:rsidP="00F27DD2">
      <w:pPr>
        <w:jc w:val="both"/>
      </w:pPr>
      <w:r>
        <w:t xml:space="preserve">Was an Equality Impact Assessment carried out?  No </w:t>
      </w:r>
    </w:p>
    <w:p w14:paraId="2E5F506A" w14:textId="77777777" w:rsidR="00F27DD2" w:rsidRDefault="00F27DD2" w:rsidP="00F27DD2">
      <w:pPr>
        <w:jc w:val="both"/>
      </w:pPr>
    </w:p>
    <w:p w14:paraId="199CAE01" w14:textId="30D285A0" w:rsidR="00F27DD2" w:rsidRDefault="00F27DD2" w:rsidP="00F27DD2">
      <w:pPr>
        <w:pStyle w:val="ListParagraph"/>
        <w:numPr>
          <w:ilvl w:val="0"/>
          <w:numId w:val="23"/>
        </w:numPr>
        <w:jc w:val="both"/>
        <w:rPr>
          <w:sz w:val="24"/>
          <w:szCs w:val="24"/>
        </w:rPr>
      </w:pPr>
      <w:r>
        <w:rPr>
          <w:sz w:val="24"/>
          <w:szCs w:val="24"/>
        </w:rPr>
        <w:t>The roles quoted in this report have the mandatory responsibility to deliver the Council’s vision and values by addressing inequalities faced by the residents of Harrow.</w:t>
      </w:r>
    </w:p>
    <w:p w14:paraId="2ACC1862" w14:textId="77777777" w:rsidR="00F27DD2" w:rsidRDefault="00F27DD2" w:rsidP="00F27DD2">
      <w:pPr>
        <w:ind w:left="720" w:hanging="720"/>
        <w:jc w:val="both"/>
        <w:rPr>
          <w:sz w:val="28"/>
          <w:szCs w:val="22"/>
        </w:rPr>
      </w:pPr>
    </w:p>
    <w:p w14:paraId="348A9643" w14:textId="03CBC31C" w:rsidR="00F27DD2" w:rsidRPr="00F27DD2" w:rsidRDefault="00F27DD2" w:rsidP="00F27DD2">
      <w:pPr>
        <w:pStyle w:val="ListParagraph"/>
        <w:numPr>
          <w:ilvl w:val="0"/>
          <w:numId w:val="23"/>
        </w:numPr>
        <w:jc w:val="both"/>
        <w:rPr>
          <w:sz w:val="24"/>
          <w:szCs w:val="24"/>
        </w:rPr>
      </w:pPr>
      <w:r>
        <w:rPr>
          <w:sz w:val="24"/>
          <w:szCs w:val="24"/>
        </w:rPr>
        <w:t>One of the responsibilities for the postholders is to promote equality, diversity and inclusion and reduce inequalities, ensuring that everyone can contribute through everyday actions to deliver the required health and well-being outcomes.</w:t>
      </w:r>
    </w:p>
    <w:p w14:paraId="6EB9B126" w14:textId="77777777" w:rsidR="00435070" w:rsidRPr="00435070" w:rsidRDefault="00435070" w:rsidP="00435070">
      <w:pPr>
        <w:pStyle w:val="Heading3"/>
        <w:spacing w:before="480" w:after="240"/>
        <w:rPr>
          <w:rFonts w:ascii="Arial Bold" w:hAnsi="Arial Bold"/>
          <w:sz w:val="28"/>
        </w:rPr>
      </w:pPr>
      <w:r w:rsidRPr="00435070">
        <w:rPr>
          <w:rFonts w:ascii="Arial Bold" w:hAnsi="Arial Bold"/>
          <w:sz w:val="28"/>
        </w:rPr>
        <w:t>Council Priorities</w:t>
      </w:r>
    </w:p>
    <w:p w14:paraId="64CDEB86" w14:textId="77777777" w:rsidR="00435070" w:rsidRDefault="00435070" w:rsidP="00435070">
      <w:pPr>
        <w:rPr>
          <w:rFonts w:cs="Arial"/>
          <w:szCs w:val="24"/>
          <w:lang w:val="en-US"/>
        </w:rPr>
      </w:pPr>
      <w:r w:rsidRPr="00CD57D8">
        <w:rPr>
          <w:rFonts w:cs="Arial"/>
          <w:szCs w:val="24"/>
          <w:lang w:val="en-US"/>
        </w:rPr>
        <w:t xml:space="preserve">Please identify how the </w:t>
      </w:r>
      <w:r>
        <w:rPr>
          <w:rFonts w:cs="Arial"/>
          <w:szCs w:val="24"/>
          <w:lang w:val="en-US"/>
        </w:rPr>
        <w:t xml:space="preserve">decision sought delivers this </w:t>
      </w:r>
      <w:r w:rsidRPr="00CD57D8">
        <w:rPr>
          <w:rFonts w:cs="Arial"/>
          <w:szCs w:val="24"/>
          <w:lang w:val="en-US"/>
        </w:rPr>
        <w:t>priorit</w:t>
      </w:r>
      <w:r>
        <w:rPr>
          <w:rFonts w:cs="Arial"/>
          <w:szCs w:val="24"/>
          <w:lang w:val="en-US"/>
        </w:rPr>
        <w:t>y</w:t>
      </w:r>
      <w:r w:rsidRPr="00CD57D8">
        <w:rPr>
          <w:rFonts w:cs="Arial"/>
          <w:szCs w:val="24"/>
          <w:lang w:val="en-US"/>
        </w:rPr>
        <w:t xml:space="preserve">. </w:t>
      </w:r>
    </w:p>
    <w:p w14:paraId="4AD16319" w14:textId="77777777" w:rsidR="00435070" w:rsidRPr="00CD57D8" w:rsidRDefault="00435070" w:rsidP="00435070">
      <w:pPr>
        <w:rPr>
          <w:rFonts w:cs="Arial"/>
          <w:szCs w:val="24"/>
          <w:lang w:val="en-US"/>
        </w:rPr>
      </w:pPr>
    </w:p>
    <w:p w14:paraId="18D7BBD0" w14:textId="68ED5014" w:rsidR="00435070" w:rsidRPr="00752110" w:rsidRDefault="00435070" w:rsidP="00F27DD2">
      <w:pPr>
        <w:pStyle w:val="StyleListParagraphBold"/>
        <w:numPr>
          <w:ilvl w:val="0"/>
          <w:numId w:val="18"/>
        </w:numPr>
        <w:rPr>
          <w:lang w:eastAsia="en-US"/>
        </w:rPr>
      </w:pPr>
      <w:r w:rsidRPr="00752110">
        <w:t>A council that puts residents first</w:t>
      </w:r>
      <w:r w:rsidR="00F27DD2">
        <w:t>.</w:t>
      </w:r>
    </w:p>
    <w:p w14:paraId="4B77658D" w14:textId="66EB38C2" w:rsidR="00435070" w:rsidRPr="00752110" w:rsidRDefault="00435070" w:rsidP="00F27DD2">
      <w:pPr>
        <w:pStyle w:val="StyleListParagraphBold"/>
        <w:numPr>
          <w:ilvl w:val="0"/>
          <w:numId w:val="18"/>
        </w:numPr>
      </w:pPr>
      <w:r w:rsidRPr="00752110">
        <w:t>A borough that is clean and safe</w:t>
      </w:r>
      <w:r w:rsidR="00F27DD2">
        <w:t>.</w:t>
      </w:r>
    </w:p>
    <w:p w14:paraId="3E7FAA30" w14:textId="3AE10E37" w:rsidR="00435070" w:rsidRPr="00752110" w:rsidRDefault="00435070" w:rsidP="00435070">
      <w:pPr>
        <w:pStyle w:val="StyleListParagraphBold"/>
        <w:numPr>
          <w:ilvl w:val="0"/>
          <w:numId w:val="18"/>
        </w:numPr>
      </w:pPr>
      <w:r w:rsidRPr="00752110">
        <w:t xml:space="preserve">A place where those in need are </w:t>
      </w:r>
      <w:r w:rsidR="00F27DD2" w:rsidRPr="00752110">
        <w:t>supported.</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69C6F967" w:rsidR="00912904" w:rsidRPr="00A66326" w:rsidRDefault="00912904" w:rsidP="00912904">
      <w:pPr>
        <w:rPr>
          <w:sz w:val="28"/>
        </w:rPr>
      </w:pPr>
      <w:r w:rsidRPr="00A66326">
        <w:rPr>
          <w:b/>
          <w:sz w:val="28"/>
        </w:rPr>
        <w:t xml:space="preserve">Statutory Officer:  </w:t>
      </w:r>
      <w:r w:rsidR="003976EC">
        <w:rPr>
          <w:b/>
          <w:sz w:val="28"/>
        </w:rPr>
        <w:t>Jessie Man</w:t>
      </w:r>
    </w:p>
    <w:p w14:paraId="650DA37B" w14:textId="27ECEE89" w:rsidR="00912904" w:rsidRPr="00564D2B" w:rsidRDefault="00912904" w:rsidP="00912904">
      <w:r w:rsidRPr="00A66326">
        <w:t>Signed on behalf of the Chief Financial Officer</w:t>
      </w:r>
    </w:p>
    <w:p w14:paraId="5745A2E3" w14:textId="4D56E918" w:rsidR="00912904" w:rsidRPr="00A66326" w:rsidRDefault="00912904" w:rsidP="00912904">
      <w:pPr>
        <w:spacing w:after="480"/>
        <w:rPr>
          <w:sz w:val="28"/>
        </w:rPr>
      </w:pPr>
      <w:r w:rsidRPr="00A66326">
        <w:rPr>
          <w:b/>
          <w:sz w:val="28"/>
        </w:rPr>
        <w:t xml:space="preserve">Date:  </w:t>
      </w:r>
      <w:r w:rsidR="00564D2B">
        <w:rPr>
          <w:b/>
          <w:sz w:val="28"/>
        </w:rPr>
        <w:t>15/09/2023</w:t>
      </w:r>
    </w:p>
    <w:p w14:paraId="2586CC50" w14:textId="18BA8A14" w:rsidR="00912904" w:rsidRPr="00A66326" w:rsidRDefault="00912904" w:rsidP="00912904">
      <w:pPr>
        <w:rPr>
          <w:sz w:val="28"/>
        </w:rPr>
      </w:pPr>
      <w:r w:rsidRPr="00A66326">
        <w:rPr>
          <w:b/>
          <w:sz w:val="28"/>
        </w:rPr>
        <w:t xml:space="preserve">Statutory Officer:  </w:t>
      </w:r>
      <w:r w:rsidR="00D8689F">
        <w:rPr>
          <w:b/>
          <w:sz w:val="28"/>
        </w:rPr>
        <w:t xml:space="preserve">Jessica Farmer </w:t>
      </w:r>
    </w:p>
    <w:p w14:paraId="52AD6B43" w14:textId="51FA82CB" w:rsidR="00912904" w:rsidRPr="00E26075" w:rsidRDefault="00912904" w:rsidP="00E26075">
      <w:r w:rsidRPr="00A66326">
        <w:t>Signed by the Monitoring Officer</w:t>
      </w:r>
    </w:p>
    <w:p w14:paraId="61F8C7E6" w14:textId="69CF2B92" w:rsidR="00912904" w:rsidRPr="003313EA" w:rsidRDefault="00912904" w:rsidP="00912904">
      <w:pPr>
        <w:spacing w:after="480"/>
        <w:rPr>
          <w:sz w:val="28"/>
        </w:rPr>
      </w:pPr>
      <w:r w:rsidRPr="00A66326">
        <w:rPr>
          <w:b/>
          <w:sz w:val="28"/>
        </w:rPr>
        <w:t xml:space="preserve">Date:  </w:t>
      </w:r>
      <w:r w:rsidR="00D8689F">
        <w:rPr>
          <w:b/>
          <w:sz w:val="28"/>
        </w:rPr>
        <w:t>18/09/2023</w:t>
      </w:r>
    </w:p>
    <w:p w14:paraId="2019A53D" w14:textId="58A58838" w:rsidR="00912904" w:rsidRPr="00A66326" w:rsidRDefault="004A4A1D" w:rsidP="00912904">
      <w:pPr>
        <w:rPr>
          <w:sz w:val="28"/>
        </w:rPr>
      </w:pPr>
      <w:r>
        <w:rPr>
          <w:b/>
          <w:sz w:val="28"/>
        </w:rPr>
        <w:t>Chief</w:t>
      </w:r>
      <w:r w:rsidR="00912904" w:rsidRPr="00A66326">
        <w:rPr>
          <w:b/>
          <w:sz w:val="28"/>
        </w:rPr>
        <w:t xml:space="preserve"> Officer:  </w:t>
      </w:r>
      <w:r w:rsidR="0063319F">
        <w:rPr>
          <w:b/>
          <w:sz w:val="28"/>
        </w:rPr>
        <w:t xml:space="preserve">Alex Dewsnap </w:t>
      </w:r>
    </w:p>
    <w:p w14:paraId="6F36B845" w14:textId="0F52082D" w:rsidR="00912904" w:rsidRPr="000D3EDD" w:rsidRDefault="00365D29" w:rsidP="00912904">
      <w:r>
        <w:t>Signed</w:t>
      </w:r>
      <w:r w:rsidR="00912904" w:rsidRPr="00A66326">
        <w:t xml:space="preserve"> by the </w:t>
      </w:r>
      <w:r w:rsidR="002E0DA4">
        <w:t xml:space="preserve">Managing Director </w:t>
      </w:r>
    </w:p>
    <w:p w14:paraId="21482980" w14:textId="2DA1EC94" w:rsidR="00912904" w:rsidRPr="00A66326" w:rsidRDefault="00912904" w:rsidP="00912904">
      <w:pPr>
        <w:spacing w:after="480"/>
        <w:rPr>
          <w:sz w:val="28"/>
        </w:rPr>
      </w:pPr>
      <w:r w:rsidRPr="00A66326">
        <w:rPr>
          <w:b/>
          <w:sz w:val="28"/>
        </w:rPr>
        <w:t xml:space="preserve">Date:  </w:t>
      </w:r>
      <w:r w:rsidR="0063319F">
        <w:rPr>
          <w:b/>
          <w:sz w:val="28"/>
        </w:rPr>
        <w:t>15/09/2023</w:t>
      </w:r>
    </w:p>
    <w:p w14:paraId="686CE5D8" w14:textId="77777777" w:rsidR="00912904" w:rsidRPr="00435B5D" w:rsidRDefault="00912904" w:rsidP="00912904">
      <w:pPr>
        <w:pStyle w:val="Heading2"/>
        <w:spacing w:after="240"/>
      </w:pPr>
      <w:r>
        <w:t>Mandatory Checks</w:t>
      </w:r>
    </w:p>
    <w:p w14:paraId="71FBC41D" w14:textId="0022AA9F" w:rsidR="00912904" w:rsidRPr="003313EA" w:rsidRDefault="00912904" w:rsidP="00154E96">
      <w:pPr>
        <w:pStyle w:val="Heading3"/>
        <w:ind w:left="0" w:firstLine="0"/>
        <w:rPr>
          <w:i/>
          <w:color w:val="FF0000"/>
          <w:szCs w:val="24"/>
        </w:rPr>
      </w:pPr>
      <w:r w:rsidRPr="00E90AFF">
        <w:rPr>
          <w:sz w:val="28"/>
        </w:rPr>
        <w:t xml:space="preserve">Ward Councillors notified:  </w:t>
      </w:r>
      <w:r w:rsidR="00154E96">
        <w:rPr>
          <w:sz w:val="28"/>
        </w:rPr>
        <w:t>NO</w:t>
      </w:r>
      <w:r w:rsidRPr="00E90AFF">
        <w:rPr>
          <w:sz w:val="28"/>
        </w:rPr>
        <w:t xml:space="preserve"> as it impacts on all </w:t>
      </w:r>
      <w:r w:rsidR="00D71665" w:rsidRPr="00E90AFF">
        <w:rPr>
          <w:sz w:val="28"/>
        </w:rPr>
        <w:t>Wards.</w:t>
      </w:r>
      <w:r w:rsidRPr="00E90AFF">
        <w:rPr>
          <w:sz w:val="28"/>
        </w:rPr>
        <w:t xml:space="preserve"> </w:t>
      </w:r>
    </w:p>
    <w:p w14:paraId="629F8205" w14:textId="77777777" w:rsidR="002A2389" w:rsidRDefault="002A2389" w:rsidP="00912904">
      <w:pPr>
        <w:pStyle w:val="Heading2"/>
        <w:keepNext/>
        <w:spacing w:after="240"/>
      </w:pPr>
      <w:r>
        <w:lastRenderedPageBreak/>
        <w:t>Section 4 - Contact Details and Background Papers</w:t>
      </w:r>
    </w:p>
    <w:p w14:paraId="695B009D" w14:textId="2643E5BA" w:rsidR="002A2389" w:rsidRDefault="002A2389" w:rsidP="000651CE">
      <w:pPr>
        <w:pStyle w:val="Infotext"/>
      </w:pPr>
      <w:r w:rsidRPr="00D914D2">
        <w:rPr>
          <w:b/>
        </w:rPr>
        <w:t>Contact:</w:t>
      </w:r>
      <w:r>
        <w:t xml:space="preserve">  </w:t>
      </w:r>
      <w:r w:rsidR="00154E96">
        <w:rPr>
          <w:rFonts w:cs="Arial"/>
          <w:sz w:val="24"/>
        </w:rPr>
        <w:t xml:space="preserve">Akhil Wilson, Head of Resourcing – </w:t>
      </w:r>
      <w:hyperlink r:id="rId9" w:history="1">
        <w:r w:rsidR="00154E96" w:rsidRPr="008B029C">
          <w:rPr>
            <w:rStyle w:val="Hyperlink"/>
            <w:rFonts w:cs="Arial"/>
            <w:sz w:val="24"/>
          </w:rPr>
          <w:t>akhil.wilson@harrow.gov.uk</w:t>
        </w:r>
      </w:hyperlink>
      <w:r w:rsidR="00912904">
        <w:t xml:space="preserve"> </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DC1A" w14:textId="77777777" w:rsidR="002A6B13" w:rsidRDefault="002A6B13">
      <w:r>
        <w:separator/>
      </w:r>
    </w:p>
  </w:endnote>
  <w:endnote w:type="continuationSeparator" w:id="0">
    <w:p w14:paraId="502160AC" w14:textId="77777777" w:rsidR="002A6B13" w:rsidRDefault="002A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FF8F8" w14:textId="77777777" w:rsidR="002A6B13" w:rsidRDefault="002A6B13">
      <w:r>
        <w:separator/>
      </w:r>
    </w:p>
  </w:footnote>
  <w:footnote w:type="continuationSeparator" w:id="0">
    <w:p w14:paraId="79925784" w14:textId="77777777" w:rsidR="002A6B13" w:rsidRDefault="002A6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65E6C"/>
    <w:multiLevelType w:val="hybridMultilevel"/>
    <w:tmpl w:val="CC8CC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B4A6D"/>
    <w:multiLevelType w:val="hybridMultilevel"/>
    <w:tmpl w:val="C0D2B206"/>
    <w:lvl w:ilvl="0" w:tplc="1464B2FA">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15F9A"/>
    <w:multiLevelType w:val="hybridMultilevel"/>
    <w:tmpl w:val="F4E6D7A2"/>
    <w:lvl w:ilvl="0" w:tplc="E59C1B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555B2D"/>
    <w:multiLevelType w:val="hybridMultilevel"/>
    <w:tmpl w:val="44FCF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D7F1EF3"/>
    <w:multiLevelType w:val="hybridMultilevel"/>
    <w:tmpl w:val="7F627A3A"/>
    <w:lvl w:ilvl="0" w:tplc="08090001">
      <w:start w:val="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341588">
    <w:abstractNumId w:val="20"/>
  </w:num>
  <w:num w:numId="2" w16cid:durableId="632710533">
    <w:abstractNumId w:val="14"/>
  </w:num>
  <w:num w:numId="3" w16cid:durableId="436802450">
    <w:abstractNumId w:val="19"/>
  </w:num>
  <w:num w:numId="4" w16cid:durableId="2090887798">
    <w:abstractNumId w:val="1"/>
  </w:num>
  <w:num w:numId="5" w16cid:durableId="13282433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2329841">
    <w:abstractNumId w:val="9"/>
  </w:num>
  <w:num w:numId="7" w16cid:durableId="877661150">
    <w:abstractNumId w:val="10"/>
  </w:num>
  <w:num w:numId="8" w16cid:durableId="1347752743">
    <w:abstractNumId w:val="5"/>
  </w:num>
  <w:num w:numId="9" w16cid:durableId="1169449031">
    <w:abstractNumId w:val="4"/>
  </w:num>
  <w:num w:numId="10" w16cid:durableId="592470712">
    <w:abstractNumId w:val="18"/>
  </w:num>
  <w:num w:numId="11" w16cid:durableId="1162233451">
    <w:abstractNumId w:val="22"/>
  </w:num>
  <w:num w:numId="12" w16cid:durableId="598761339">
    <w:abstractNumId w:val="15"/>
  </w:num>
  <w:num w:numId="13" w16cid:durableId="1769962116">
    <w:abstractNumId w:val="3"/>
  </w:num>
  <w:num w:numId="14" w16cid:durableId="218515568">
    <w:abstractNumId w:val="7"/>
  </w:num>
  <w:num w:numId="15" w16cid:durableId="547881295">
    <w:abstractNumId w:val="13"/>
  </w:num>
  <w:num w:numId="16" w16cid:durableId="2021538308">
    <w:abstractNumId w:val="11"/>
  </w:num>
  <w:num w:numId="17" w16cid:durableId="575557497">
    <w:abstractNumId w:val="21"/>
  </w:num>
  <w:num w:numId="18" w16cid:durableId="201749259">
    <w:abstractNumId w:val="12"/>
  </w:num>
  <w:num w:numId="19" w16cid:durableId="625043495">
    <w:abstractNumId w:val="2"/>
  </w:num>
  <w:num w:numId="20" w16cid:durableId="53362024">
    <w:abstractNumId w:val="8"/>
  </w:num>
  <w:num w:numId="21" w16cid:durableId="528877185">
    <w:abstractNumId w:val="17"/>
  </w:num>
  <w:num w:numId="22" w16cid:durableId="2029210049">
    <w:abstractNumId w:val="6"/>
  </w:num>
  <w:num w:numId="23" w16cid:durableId="9971470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42540"/>
    <w:rsid w:val="00057F10"/>
    <w:rsid w:val="000633A2"/>
    <w:rsid w:val="000651CE"/>
    <w:rsid w:val="00071EB4"/>
    <w:rsid w:val="00077298"/>
    <w:rsid w:val="000872CE"/>
    <w:rsid w:val="000A58A1"/>
    <w:rsid w:val="000A6659"/>
    <w:rsid w:val="000B0E6F"/>
    <w:rsid w:val="000B6DBB"/>
    <w:rsid w:val="000D2BF2"/>
    <w:rsid w:val="000D3EDD"/>
    <w:rsid w:val="000D5870"/>
    <w:rsid w:val="000F65C0"/>
    <w:rsid w:val="00153E73"/>
    <w:rsid w:val="00154E96"/>
    <w:rsid w:val="001939BA"/>
    <w:rsid w:val="001A6EB0"/>
    <w:rsid w:val="001B441D"/>
    <w:rsid w:val="001C5225"/>
    <w:rsid w:val="001E0219"/>
    <w:rsid w:val="00207F72"/>
    <w:rsid w:val="00213BE7"/>
    <w:rsid w:val="00231A1D"/>
    <w:rsid w:val="00236E28"/>
    <w:rsid w:val="00244120"/>
    <w:rsid w:val="00293F9F"/>
    <w:rsid w:val="002A2389"/>
    <w:rsid w:val="002A6B13"/>
    <w:rsid w:val="002B336A"/>
    <w:rsid w:val="002C08E2"/>
    <w:rsid w:val="002C1794"/>
    <w:rsid w:val="002D2FC5"/>
    <w:rsid w:val="002E0DA4"/>
    <w:rsid w:val="002E6637"/>
    <w:rsid w:val="002E77E3"/>
    <w:rsid w:val="00332947"/>
    <w:rsid w:val="00333EB4"/>
    <w:rsid w:val="0033701D"/>
    <w:rsid w:val="00345915"/>
    <w:rsid w:val="00365D29"/>
    <w:rsid w:val="00374F22"/>
    <w:rsid w:val="003976EC"/>
    <w:rsid w:val="003D2FFE"/>
    <w:rsid w:val="003F23F0"/>
    <w:rsid w:val="00400032"/>
    <w:rsid w:val="0042394B"/>
    <w:rsid w:val="00435070"/>
    <w:rsid w:val="00473B08"/>
    <w:rsid w:val="00474B5F"/>
    <w:rsid w:val="004865F0"/>
    <w:rsid w:val="004A3CE6"/>
    <w:rsid w:val="004A4A1D"/>
    <w:rsid w:val="004B2C9D"/>
    <w:rsid w:val="004B4A47"/>
    <w:rsid w:val="004E667D"/>
    <w:rsid w:val="004E6AF9"/>
    <w:rsid w:val="005031DF"/>
    <w:rsid w:val="00523FA4"/>
    <w:rsid w:val="00564D2B"/>
    <w:rsid w:val="00570F59"/>
    <w:rsid w:val="00597314"/>
    <w:rsid w:val="005A61AF"/>
    <w:rsid w:val="005C627B"/>
    <w:rsid w:val="005D0886"/>
    <w:rsid w:val="005E384D"/>
    <w:rsid w:val="005F2181"/>
    <w:rsid w:val="005F724B"/>
    <w:rsid w:val="00625DFF"/>
    <w:rsid w:val="0063072B"/>
    <w:rsid w:val="0063319F"/>
    <w:rsid w:val="00662891"/>
    <w:rsid w:val="006628B7"/>
    <w:rsid w:val="00675FCB"/>
    <w:rsid w:val="006A0B87"/>
    <w:rsid w:val="006B3942"/>
    <w:rsid w:val="006C0394"/>
    <w:rsid w:val="006C3914"/>
    <w:rsid w:val="006D3648"/>
    <w:rsid w:val="0074184E"/>
    <w:rsid w:val="00743829"/>
    <w:rsid w:val="00755F8D"/>
    <w:rsid w:val="00796503"/>
    <w:rsid w:val="007D2BDA"/>
    <w:rsid w:val="007D56C8"/>
    <w:rsid w:val="007E3934"/>
    <w:rsid w:val="007E7303"/>
    <w:rsid w:val="00804B7F"/>
    <w:rsid w:val="008212A0"/>
    <w:rsid w:val="00837F53"/>
    <w:rsid w:val="008A1FFB"/>
    <w:rsid w:val="008D1750"/>
    <w:rsid w:val="008D7800"/>
    <w:rsid w:val="008E2910"/>
    <w:rsid w:val="008E4913"/>
    <w:rsid w:val="00900464"/>
    <w:rsid w:val="0090100E"/>
    <w:rsid w:val="00912904"/>
    <w:rsid w:val="0093767E"/>
    <w:rsid w:val="00972A02"/>
    <w:rsid w:val="0099517C"/>
    <w:rsid w:val="009A0937"/>
    <w:rsid w:val="009B2ECD"/>
    <w:rsid w:val="009B7914"/>
    <w:rsid w:val="009F430B"/>
    <w:rsid w:val="00A160B2"/>
    <w:rsid w:val="00A566E7"/>
    <w:rsid w:val="00A940D3"/>
    <w:rsid w:val="00A96FCA"/>
    <w:rsid w:val="00A97E4A"/>
    <w:rsid w:val="00AA4BE8"/>
    <w:rsid w:val="00AA7805"/>
    <w:rsid w:val="00AC0AAB"/>
    <w:rsid w:val="00AC7BA9"/>
    <w:rsid w:val="00B0425E"/>
    <w:rsid w:val="00B612DB"/>
    <w:rsid w:val="00B900E2"/>
    <w:rsid w:val="00B9118E"/>
    <w:rsid w:val="00BA35EA"/>
    <w:rsid w:val="00BD6115"/>
    <w:rsid w:val="00BD684A"/>
    <w:rsid w:val="00C32DAE"/>
    <w:rsid w:val="00C40E24"/>
    <w:rsid w:val="00C55DD7"/>
    <w:rsid w:val="00C61B80"/>
    <w:rsid w:val="00C92D9A"/>
    <w:rsid w:val="00C96EF5"/>
    <w:rsid w:val="00D25064"/>
    <w:rsid w:val="00D32B51"/>
    <w:rsid w:val="00D34668"/>
    <w:rsid w:val="00D3740E"/>
    <w:rsid w:val="00D40335"/>
    <w:rsid w:val="00D71665"/>
    <w:rsid w:val="00D82F57"/>
    <w:rsid w:val="00D841A5"/>
    <w:rsid w:val="00D8689F"/>
    <w:rsid w:val="00D914D2"/>
    <w:rsid w:val="00DA25DB"/>
    <w:rsid w:val="00DB0791"/>
    <w:rsid w:val="00DD4251"/>
    <w:rsid w:val="00E00C57"/>
    <w:rsid w:val="00E02B50"/>
    <w:rsid w:val="00E03F11"/>
    <w:rsid w:val="00E06DC8"/>
    <w:rsid w:val="00E220B5"/>
    <w:rsid w:val="00E26075"/>
    <w:rsid w:val="00E33D93"/>
    <w:rsid w:val="00E609EF"/>
    <w:rsid w:val="00E8515B"/>
    <w:rsid w:val="00E90AFF"/>
    <w:rsid w:val="00EF2F91"/>
    <w:rsid w:val="00F27DD2"/>
    <w:rsid w:val="00F33EE3"/>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link w:val="Heading2Char"/>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1"/>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paragraph" w:customStyle="1" w:styleId="StyleListParagraphBold">
    <w:name w:val="Style List Paragraph + Bold"/>
    <w:basedOn w:val="ListParagraph"/>
    <w:rsid w:val="00435070"/>
    <w:rPr>
      <w:b/>
      <w:bCs/>
      <w:sz w:val="24"/>
    </w:rPr>
  </w:style>
  <w:style w:type="character" w:customStyle="1" w:styleId="Heading2Char">
    <w:name w:val="Heading 2 Char"/>
    <w:basedOn w:val="DefaultParagraphFont"/>
    <w:link w:val="Heading2"/>
    <w:rsid w:val="00F27DD2"/>
    <w:rPr>
      <w:rFonts w:ascii="Arial Black" w:hAnsi="Arial Black" w:cs="Arial"/>
      <w:bCs/>
      <w:sz w:val="32"/>
      <w:szCs w:val="32"/>
      <w:lang w:eastAsia="en-US"/>
    </w:rPr>
  </w:style>
  <w:style w:type="paragraph" w:styleId="Revision">
    <w:name w:val="Revision"/>
    <w:hidden/>
    <w:uiPriority w:val="99"/>
    <w:semiHidden/>
    <w:rsid w:val="00E00C5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867">
      <w:bodyDiv w:val="1"/>
      <w:marLeft w:val="0"/>
      <w:marRight w:val="0"/>
      <w:marTop w:val="0"/>
      <w:marBottom w:val="0"/>
      <w:divBdr>
        <w:top w:val="none" w:sz="0" w:space="0" w:color="auto"/>
        <w:left w:val="none" w:sz="0" w:space="0" w:color="auto"/>
        <w:bottom w:val="none" w:sz="0" w:space="0" w:color="auto"/>
        <w:right w:val="none" w:sz="0" w:space="0" w:color="auto"/>
      </w:divBdr>
    </w:div>
    <w:div w:id="1149634554">
      <w:bodyDiv w:val="1"/>
      <w:marLeft w:val="0"/>
      <w:marRight w:val="0"/>
      <w:marTop w:val="0"/>
      <w:marBottom w:val="0"/>
      <w:divBdr>
        <w:top w:val="none" w:sz="0" w:space="0" w:color="auto"/>
        <w:left w:val="none" w:sz="0" w:space="0" w:color="auto"/>
        <w:bottom w:val="none" w:sz="0" w:space="0" w:color="auto"/>
        <w:right w:val="none" w:sz="0" w:space="0" w:color="auto"/>
      </w:divBdr>
    </w:div>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hil.wilson@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5AB65-CCE4-4BA6-A942-80D880D2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820</Words>
  <Characters>4755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5564</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2</cp:revision>
  <cp:lastPrinted>2007-07-12T09:53:00Z</cp:lastPrinted>
  <dcterms:created xsi:type="dcterms:W3CDTF">2023-09-19T10:17:00Z</dcterms:created>
  <dcterms:modified xsi:type="dcterms:W3CDTF">2023-09-19T10:17:00Z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551f08b49b943a82f2d36fcf2adf6911f0bdbdbc731b75687a7a862b070d02b5</vt:lpwstr>
  </property>
</Properties>
</file>